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8A0727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F0BFE" w:rsidRPr="004F0BFE">
        <w:rPr>
          <w:rFonts w:eastAsia="Times New Roman" w:cs="Times New Roman"/>
          <w:b/>
          <w:bCs/>
          <w:sz w:val="18"/>
          <w:szCs w:val="18"/>
          <w:lang w:eastAsia="cs-CZ"/>
        </w:rPr>
        <w:t>„Nákup silničního podvalu pro OŘ PHA 2025“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F0BFE" w:rsidRPr="004F0BFE">
        <w:rPr>
          <w:rFonts w:eastAsia="Times New Roman" w:cs="Times New Roman"/>
          <w:sz w:val="18"/>
          <w:szCs w:val="18"/>
          <w:lang w:eastAsia="cs-CZ"/>
        </w:rPr>
        <w:t>31875/2025-SŽ-OŘ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404AE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4E0B0F"/>
    <w:rsid w:val="004F0BFE"/>
    <w:rsid w:val="00506089"/>
    <w:rsid w:val="005333BD"/>
    <w:rsid w:val="00565E8D"/>
    <w:rsid w:val="007944E1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95C68"/>
    <w:rsid w:val="00EC75D7"/>
    <w:rsid w:val="00F1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19</cp:revision>
  <dcterms:created xsi:type="dcterms:W3CDTF">2022-04-17T17:33:00Z</dcterms:created>
  <dcterms:modified xsi:type="dcterms:W3CDTF">2025-07-28T07:02:00Z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